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DAEA50" w14:textId="5A2813E8" w:rsidR="00D81951" w:rsidRPr="00B85159" w:rsidRDefault="00D81951" w:rsidP="000A257E">
      <w:pPr>
        <w:snapToGrid w:val="0"/>
        <w:spacing w:line="360" w:lineRule="auto"/>
        <w:jc w:val="center"/>
      </w:pPr>
      <w:r w:rsidRPr="00D81951">
        <w:rPr>
          <w:rFonts w:eastAsia="標楷體" w:hAnsi="標楷體"/>
          <w:b/>
          <w:sz w:val="28"/>
          <w:szCs w:val="32"/>
        </w:rPr>
        <w:t>Low temperature geothermal energy: heat exchange s</w:t>
      </w:r>
      <w:bookmarkStart w:id="0" w:name="_GoBack"/>
      <w:bookmarkEnd w:id="0"/>
      <w:r w:rsidRPr="00D81951">
        <w:rPr>
          <w:rFonts w:eastAsia="標楷體" w:hAnsi="標楷體"/>
          <w:b/>
          <w:sz w:val="28"/>
          <w:szCs w:val="32"/>
        </w:rPr>
        <w:t>imulation in aquifers through Modflow/MT3DMS codes</w:t>
      </w:r>
      <w:r w:rsidR="00B85159" w:rsidRPr="00B85159">
        <w:t xml:space="preserve"> </w:t>
      </w:r>
      <w:r w:rsidR="00B85159" w:rsidRPr="00B85159">
        <w:rPr>
          <w:rFonts w:eastAsia="標楷體" w:hAnsi="標楷體"/>
          <w:b/>
          <w:color w:val="FF0000"/>
          <w:sz w:val="20"/>
          <w:szCs w:val="32"/>
        </w:rPr>
        <w:t>(16 pt, 1.25 spacing, align center, font Times New Roman, bolder font)</w:t>
      </w:r>
    </w:p>
    <w:p w14:paraId="3E46DB01" w14:textId="748146A6" w:rsidR="00222968" w:rsidRPr="00D81951" w:rsidRDefault="00D81951" w:rsidP="000A257E">
      <w:pPr>
        <w:snapToGrid w:val="0"/>
        <w:spacing w:line="360" w:lineRule="auto"/>
        <w:jc w:val="both"/>
      </w:pPr>
      <w:r w:rsidRPr="00087C5C">
        <w:t>Alberti</w:t>
      </w:r>
      <w:r>
        <w:t>, L.</w:t>
      </w:r>
      <w:r w:rsidRPr="00087C5C">
        <w:t>,</w:t>
      </w:r>
      <w:r>
        <w:t xml:space="preserve"> </w:t>
      </w:r>
      <w:r w:rsidRPr="00087C5C">
        <w:t xml:space="preserve">Angelotti, </w:t>
      </w:r>
      <w:r>
        <w:t xml:space="preserve">A., </w:t>
      </w:r>
      <w:r w:rsidRPr="00087C5C">
        <w:t>Antelmi,</w:t>
      </w:r>
      <w:r>
        <w:t xml:space="preserve"> M.,</w:t>
      </w:r>
      <w:r w:rsidRPr="00087C5C">
        <w:t xml:space="preserve"> Licata, </w:t>
      </w:r>
      <w:r>
        <w:t xml:space="preserve">I., </w:t>
      </w:r>
      <w:r w:rsidRPr="00087C5C">
        <w:t>Legrenzi</w:t>
      </w:r>
      <w:r>
        <w:rPr>
          <w:rFonts w:hint="eastAsia"/>
        </w:rPr>
        <w:t>,</w:t>
      </w:r>
      <w:r>
        <w:t xml:space="preserve"> C., 2012.</w:t>
      </w:r>
      <w:r w:rsidRPr="00402335">
        <w:t xml:space="preserve"> </w:t>
      </w:r>
      <w:r>
        <w:t xml:space="preserve">Low temperature geothermal energy: heat exchange simulation in aquifers through Modflow/MT3DMS codes. </w:t>
      </w:r>
      <w:r w:rsidRPr="007E3018">
        <w:rPr>
          <w:i/>
        </w:rPr>
        <w:t>AQUA mundi</w:t>
      </w:r>
      <w:r>
        <w:t>,</w:t>
      </w:r>
      <w:r w:rsidR="00775B72">
        <w:t xml:space="preserve"> </w:t>
      </w:r>
      <w:r>
        <w:t>039</w:t>
      </w:r>
      <w:r w:rsidR="00775B72">
        <w:t>–</w:t>
      </w:r>
      <w:r>
        <w:t>051</w:t>
      </w:r>
      <w:r w:rsidR="00775B72">
        <w:t>.</w:t>
      </w:r>
      <w:r w:rsidR="00B85159" w:rsidRPr="00B85159">
        <w:t xml:space="preserve"> </w:t>
      </w:r>
      <w:r w:rsidR="00B85159" w:rsidRPr="00B85159">
        <w:rPr>
          <w:rFonts w:eastAsia="標楷體" w:hAnsi="標楷體"/>
          <w:b/>
          <w:color w:val="FF0000"/>
          <w:sz w:val="20"/>
          <w:szCs w:val="32"/>
        </w:rPr>
        <w:t>(1</w:t>
      </w:r>
      <w:r w:rsidR="00B85159">
        <w:rPr>
          <w:rFonts w:eastAsia="標楷體" w:hAnsi="標楷體"/>
          <w:b/>
          <w:color w:val="FF0000"/>
          <w:sz w:val="20"/>
          <w:szCs w:val="32"/>
        </w:rPr>
        <w:t>2</w:t>
      </w:r>
      <w:r w:rsidR="00B85159" w:rsidRPr="00B85159">
        <w:rPr>
          <w:rFonts w:eastAsia="標楷體" w:hAnsi="標楷體"/>
          <w:b/>
          <w:color w:val="FF0000"/>
          <w:sz w:val="20"/>
          <w:szCs w:val="32"/>
        </w:rPr>
        <w:t xml:space="preserve"> pt, 1.25 spacing, justify text, font Times New Roman)</w:t>
      </w:r>
    </w:p>
    <w:p w14:paraId="3F4C8623" w14:textId="754F8BA6" w:rsidR="004659F8" w:rsidRPr="000C10BD" w:rsidRDefault="00F9198B" w:rsidP="000A257E">
      <w:pPr>
        <w:snapToGrid w:val="0"/>
        <w:spacing w:line="360" w:lineRule="auto"/>
        <w:jc w:val="right"/>
        <w:rPr>
          <w:rFonts w:eastAsia="標楷體"/>
        </w:rPr>
      </w:pPr>
      <w:r w:rsidRPr="00F9198B">
        <w:rPr>
          <w:rFonts w:eastAsia="標楷體" w:hAnsi="標楷體" w:hint="eastAsia"/>
        </w:rPr>
        <w:t>Presenter</w:t>
      </w:r>
      <w:r>
        <w:rPr>
          <w:rFonts w:eastAsia="標楷體" w:hAnsi="標楷體"/>
        </w:rPr>
        <w:t xml:space="preserve">: </w:t>
      </w:r>
      <w:r w:rsidR="00D81951">
        <w:rPr>
          <w:rFonts w:eastAsia="標楷體" w:hAnsi="標楷體"/>
        </w:rPr>
        <w:t>xxx</w:t>
      </w:r>
    </w:p>
    <w:p w14:paraId="75C2BF35" w14:textId="5F96BB59" w:rsidR="004659F8" w:rsidRPr="000C10BD" w:rsidRDefault="00F9198B" w:rsidP="000A257E">
      <w:pPr>
        <w:snapToGrid w:val="0"/>
        <w:spacing w:line="360" w:lineRule="auto"/>
        <w:jc w:val="right"/>
        <w:rPr>
          <w:rFonts w:eastAsia="標楷體"/>
        </w:rPr>
      </w:pPr>
      <w:r w:rsidRPr="00F9198B">
        <w:rPr>
          <w:rFonts w:eastAsia="標楷體" w:hAnsi="標楷體" w:hint="eastAsia"/>
        </w:rPr>
        <w:t>Advisor</w:t>
      </w:r>
      <w:r>
        <w:rPr>
          <w:rFonts w:eastAsia="標楷體" w:hAnsi="標楷體" w:hint="eastAsia"/>
        </w:rPr>
        <w:t>:</w:t>
      </w:r>
      <w:r>
        <w:rPr>
          <w:rFonts w:eastAsia="標楷體" w:hAnsi="標楷體"/>
        </w:rPr>
        <w:t xml:space="preserve"> </w:t>
      </w:r>
      <w:r w:rsidRPr="00F9198B">
        <w:rPr>
          <w:rFonts w:eastAsia="標楷體" w:hAnsi="標楷體" w:hint="eastAsia"/>
        </w:rPr>
        <w:t>Prof.</w:t>
      </w:r>
      <w:r>
        <w:rPr>
          <w:rFonts w:eastAsia="標楷體" w:hAnsi="標楷體"/>
        </w:rPr>
        <w:t xml:space="preserve"> </w:t>
      </w:r>
      <w:r w:rsidR="00D81951">
        <w:rPr>
          <w:rFonts w:eastAsia="標楷體" w:hAnsi="標楷體"/>
        </w:rPr>
        <w:t>xxx</w:t>
      </w:r>
    </w:p>
    <w:p w14:paraId="3D10FFF8" w14:textId="77777777" w:rsidR="00A11DD4" w:rsidRDefault="00F9198B" w:rsidP="00A11DD4">
      <w:pPr>
        <w:snapToGrid w:val="0"/>
        <w:spacing w:line="360" w:lineRule="auto"/>
        <w:jc w:val="right"/>
        <w:rPr>
          <w:rFonts w:eastAsia="標楷體"/>
        </w:rPr>
      </w:pPr>
      <w:r>
        <w:rPr>
          <w:rFonts w:eastAsia="標楷體" w:hAnsi="標楷體" w:hint="eastAsia"/>
        </w:rPr>
        <w:t>D</w:t>
      </w:r>
      <w:r>
        <w:rPr>
          <w:rFonts w:eastAsia="標楷體" w:hAnsi="標楷體"/>
        </w:rPr>
        <w:t>ate</w:t>
      </w:r>
      <w:r>
        <w:rPr>
          <w:rFonts w:eastAsia="標楷體" w:hAnsi="標楷體" w:hint="eastAsia"/>
        </w:rPr>
        <w:t>:</w:t>
      </w:r>
      <w:r>
        <w:rPr>
          <w:rFonts w:eastAsia="標楷體" w:hAnsi="標楷體"/>
        </w:rPr>
        <w:t xml:space="preserve"> </w:t>
      </w:r>
      <w:r w:rsidR="00D81951">
        <w:rPr>
          <w:rFonts w:eastAsia="標楷體"/>
        </w:rPr>
        <w:t>xxxx</w:t>
      </w:r>
      <w:r w:rsidR="004659F8" w:rsidRPr="000C10BD">
        <w:rPr>
          <w:rFonts w:eastAsia="標楷體"/>
        </w:rPr>
        <w:t>/</w:t>
      </w:r>
      <w:r w:rsidR="00D81951">
        <w:rPr>
          <w:rFonts w:eastAsia="標楷體"/>
        </w:rPr>
        <w:t>xx</w:t>
      </w:r>
      <w:r w:rsidR="00D6054A">
        <w:rPr>
          <w:rFonts w:eastAsia="標楷體" w:hint="eastAsia"/>
        </w:rPr>
        <w:t>/</w:t>
      </w:r>
      <w:r w:rsidR="00D81951">
        <w:rPr>
          <w:rFonts w:eastAsia="標楷體"/>
        </w:rPr>
        <w:t>xx</w:t>
      </w:r>
      <w:r w:rsidR="00B85159" w:rsidRPr="00B85159">
        <w:rPr>
          <w:b/>
          <w:color w:val="FF0000"/>
          <w:sz w:val="20"/>
        </w:rPr>
        <w:t xml:space="preserve"> </w:t>
      </w:r>
      <w:r w:rsidR="00B85159" w:rsidRPr="00B85159">
        <w:rPr>
          <w:rFonts w:eastAsia="標楷體"/>
          <w:b/>
          <w:color w:val="FF0000"/>
          <w:sz w:val="20"/>
        </w:rPr>
        <w:t>(12pt, 1.25 spacing, align right)</w:t>
      </w:r>
    </w:p>
    <w:p w14:paraId="71E8A77E" w14:textId="77777777" w:rsidR="00A11DD4" w:rsidRDefault="00F9198B" w:rsidP="00A11DD4">
      <w:pPr>
        <w:snapToGrid w:val="0"/>
        <w:spacing w:beforeLines="50" w:before="180" w:afterLines="50" w:after="180" w:line="360" w:lineRule="auto"/>
        <w:jc w:val="right"/>
        <w:rPr>
          <w:rFonts w:eastAsia="標楷體"/>
        </w:rPr>
      </w:pPr>
      <w:r>
        <w:rPr>
          <w:rFonts w:eastAsia="標楷體" w:hAnsi="標楷體" w:hint="eastAsia"/>
          <w:b/>
          <w:sz w:val="28"/>
          <w:szCs w:val="28"/>
        </w:rPr>
        <w:t>A</w:t>
      </w:r>
      <w:r>
        <w:rPr>
          <w:rFonts w:eastAsia="標楷體" w:hAnsi="標楷體"/>
          <w:b/>
          <w:sz w:val="28"/>
          <w:szCs w:val="28"/>
        </w:rPr>
        <w:t>bstract</w:t>
      </w:r>
      <w:r w:rsidR="00B85159" w:rsidRPr="00B85159">
        <w:t xml:space="preserve"> </w:t>
      </w:r>
      <w:r w:rsidR="00B85159" w:rsidRPr="00B85159">
        <w:rPr>
          <w:rFonts w:eastAsia="標楷體" w:hAnsi="標楷體"/>
          <w:b/>
          <w:color w:val="FF0000"/>
          <w:sz w:val="20"/>
          <w:szCs w:val="28"/>
        </w:rPr>
        <w:t>(14pt, 1.5 spacing, 0.5pt before and after line spacing, align center, bolder font)</w:t>
      </w:r>
    </w:p>
    <w:p w14:paraId="342883DE" w14:textId="0BB9CC8B" w:rsidR="00D81951" w:rsidRPr="00A11DD4" w:rsidRDefault="00D81951" w:rsidP="00A11DD4">
      <w:pPr>
        <w:snapToGrid w:val="0"/>
        <w:spacing w:afterLines="50" w:after="180" w:line="360" w:lineRule="auto"/>
        <w:ind w:firstLine="480"/>
        <w:jc w:val="both"/>
        <w:rPr>
          <w:rFonts w:eastAsia="標楷體"/>
        </w:rPr>
      </w:pPr>
      <w:r w:rsidRPr="00D81951">
        <w:rPr>
          <w:rFonts w:eastAsia="標楷體" w:hAnsi="標楷體"/>
          <w:szCs w:val="20"/>
        </w:rPr>
        <w:t>Geothermal energy and in particular low temperature resources, have a rising worldwide importance. Ground-Source Heat Pumps</w:t>
      </w:r>
      <w:r w:rsidR="00FA4567">
        <w:rPr>
          <w:rFonts w:eastAsia="標楷體" w:hAnsi="標楷體"/>
          <w:szCs w:val="20"/>
        </w:rPr>
        <w:t xml:space="preserve"> </w:t>
      </w:r>
      <w:r w:rsidRPr="00D81951">
        <w:rPr>
          <w:rFonts w:eastAsia="標楷體" w:hAnsi="標楷體"/>
          <w:szCs w:val="20"/>
        </w:rPr>
        <w:t>(GSHP) have been used increasingly because they are among the cleanest and most energy efficient heating and cooling systems for buildings. Simulation models can be applied for a more effective use of the subsoil for geothermal purposes. In fact</w:t>
      </w:r>
      <w:r w:rsidR="00FA4567">
        <w:rPr>
          <w:rFonts w:eastAsia="標楷體" w:hAnsi="標楷體"/>
          <w:szCs w:val="20"/>
        </w:rPr>
        <w:t>,</w:t>
      </w:r>
      <w:r w:rsidRPr="00D81951">
        <w:rPr>
          <w:rFonts w:eastAsia="標楷體" w:hAnsi="標楷體"/>
          <w:szCs w:val="20"/>
        </w:rPr>
        <w:t xml:space="preserve"> they are useful tools for the design of efficient systems considering also the need to avoid abnormal temperature distributions in soil and aquifers. </w:t>
      </w:r>
    </w:p>
    <w:p w14:paraId="364436BE" w14:textId="0A4827BB" w:rsidR="00F9198B" w:rsidRDefault="00D81951" w:rsidP="00A11DD4">
      <w:pPr>
        <w:snapToGrid w:val="0"/>
        <w:spacing w:afterLines="50" w:after="180" w:line="360" w:lineRule="auto"/>
        <w:ind w:firstLine="482"/>
        <w:jc w:val="both"/>
        <w:rPr>
          <w:rFonts w:eastAsia="標楷體" w:hAnsi="標楷體"/>
          <w:szCs w:val="20"/>
        </w:rPr>
      </w:pPr>
      <w:r w:rsidRPr="00D81951">
        <w:rPr>
          <w:rFonts w:eastAsia="標楷體" w:hAnsi="標楷體"/>
          <w:szCs w:val="20"/>
        </w:rPr>
        <w:t>In the hydrogeology field MODFLOW/MT3DMS are the most widespread programs to face environmental problems and to forecast quantity and quality impacts on groundwater resources. Although MODFLOW/MT3DMS are used to represent open circuit heat pumps, they are hardly used to represent borehole heat exchangers (BHE). The aim of this study is to simulate BHEs through two computer codes. The first one is TRNVDSTP, coupled to TRNSYS, which is often used in GSHP design in pure conduction cases. A methodology to take groundwater flow into account was added to TRNVDSTP, but a validation is still missing. The second one is MODFLOW/MT3DMS, suitable for groundwater flow and transport models, but whose reliability in BHE simulation is today unknown. The two software have been compared in terms of predicted exchanged energy and temperature distribution in the aquifer.</w:t>
      </w:r>
    </w:p>
    <w:p w14:paraId="30895268" w14:textId="66B5C62A" w:rsidR="00FA4567" w:rsidRPr="00FA4567" w:rsidRDefault="00FA4567" w:rsidP="00A11DD4">
      <w:pPr>
        <w:snapToGrid w:val="0"/>
        <w:spacing w:afterLines="50" w:after="180" w:line="360" w:lineRule="auto"/>
        <w:ind w:firstLine="482"/>
        <w:jc w:val="both"/>
        <w:rPr>
          <w:rFonts w:eastAsia="標楷體" w:hAnsi="標楷體"/>
          <w:szCs w:val="20"/>
        </w:rPr>
      </w:pPr>
      <w:r w:rsidRPr="00FA4567">
        <w:rPr>
          <w:rFonts w:eastAsia="標楷體" w:hAnsi="標楷體"/>
          <w:szCs w:val="20"/>
        </w:rPr>
        <w:t xml:space="preserve">The first runs have been performed without a groundwater flow and a good agreement has been observed between the results of the two software, both in relation </w:t>
      </w:r>
      <w:r w:rsidRPr="00FA4567">
        <w:rPr>
          <w:rFonts w:eastAsia="標楷體" w:hAnsi="標楷體"/>
          <w:szCs w:val="20"/>
        </w:rPr>
        <w:lastRenderedPageBreak/>
        <w:t>to exchanged energies and temperature distribution into the model domain.</w:t>
      </w:r>
    </w:p>
    <w:p w14:paraId="1F2B3534" w14:textId="5B1BAFBC" w:rsidR="00FA4567" w:rsidRPr="00FA4567" w:rsidRDefault="00FA4567" w:rsidP="00A11DD4">
      <w:pPr>
        <w:snapToGrid w:val="0"/>
        <w:spacing w:afterLines="50" w:after="180" w:line="360" w:lineRule="auto"/>
        <w:ind w:firstLine="482"/>
        <w:jc w:val="both"/>
        <w:rPr>
          <w:rFonts w:eastAsia="標楷體" w:hAnsi="標楷體"/>
          <w:szCs w:val="20"/>
        </w:rPr>
      </w:pPr>
      <w:r w:rsidRPr="00FA4567">
        <w:rPr>
          <w:rFonts w:eastAsia="標楷體" w:hAnsi="標楷體"/>
          <w:szCs w:val="20"/>
        </w:rPr>
        <w:t>Thus</w:t>
      </w:r>
      <w:r>
        <w:rPr>
          <w:rFonts w:eastAsia="標楷體" w:hAnsi="標楷體"/>
          <w:szCs w:val="20"/>
        </w:rPr>
        <w:t>,</w:t>
      </w:r>
      <w:r w:rsidRPr="00FA4567">
        <w:rPr>
          <w:rFonts w:eastAsia="標楷體" w:hAnsi="標楷體"/>
          <w:szCs w:val="20"/>
        </w:rPr>
        <w:t xml:space="preserve"> some simulations considering the presence of the groundwater flow have been performed. In this latter case the results in terms of exchanged energy differ of about 150%. </w:t>
      </w:r>
    </w:p>
    <w:p w14:paraId="19B7AB78" w14:textId="77777777" w:rsidR="00A11DD4" w:rsidRDefault="00FA4567" w:rsidP="00A11DD4">
      <w:pPr>
        <w:snapToGrid w:val="0"/>
        <w:spacing w:afterLines="50" w:after="180" w:line="360" w:lineRule="auto"/>
        <w:ind w:firstLine="482"/>
        <w:jc w:val="both"/>
        <w:rPr>
          <w:rFonts w:eastAsia="標楷體" w:hAnsi="標楷體"/>
          <w:b/>
          <w:szCs w:val="20"/>
        </w:rPr>
      </w:pPr>
      <w:r w:rsidRPr="00FA4567">
        <w:rPr>
          <w:rFonts w:eastAsia="標楷體" w:hAnsi="標楷體"/>
          <w:szCs w:val="20"/>
        </w:rPr>
        <w:t>The study demonstrates the suitability of MODFLOW/MT3DMS for BHEs design when groundwater flow is not accounted for. Further efforts are needed to understand the different results when groundwater flow cannot be neglected, exploring the role of the different heat transport phenomena.</w:t>
      </w:r>
      <w:r w:rsidR="00B85159" w:rsidRPr="00B85159">
        <w:rPr>
          <w:color w:val="FF0000"/>
          <w:sz w:val="20"/>
        </w:rPr>
        <w:t xml:space="preserve"> </w:t>
      </w:r>
      <w:r w:rsidR="00B85159" w:rsidRPr="00B85159">
        <w:rPr>
          <w:rFonts w:eastAsia="標楷體" w:hAnsi="標楷體"/>
          <w:b/>
          <w:color w:val="FF0000"/>
          <w:sz w:val="20"/>
          <w:szCs w:val="20"/>
        </w:rPr>
        <w:t>(12pt, 1.5 spacing, 0pt before line spacing, 0.5pt after line spacing, justify text, font Times New Roman)</w:t>
      </w:r>
    </w:p>
    <w:p w14:paraId="77AC52DB" w14:textId="0FB0082B" w:rsidR="00CE5907" w:rsidRDefault="00CE5907" w:rsidP="0016070C">
      <w:pPr>
        <w:snapToGrid w:val="0"/>
        <w:spacing w:beforeLines="50" w:before="180" w:afterLines="50" w:after="180" w:line="360" w:lineRule="auto"/>
        <w:jc w:val="both"/>
        <w:rPr>
          <w:rFonts w:eastAsia="標楷體" w:hAnsi="標楷體"/>
          <w:b/>
          <w:color w:val="FF0000"/>
          <w:sz w:val="20"/>
          <w:szCs w:val="20"/>
        </w:rPr>
      </w:pPr>
      <w:r w:rsidRPr="00CE5907">
        <w:rPr>
          <w:rFonts w:eastAsia="標楷體" w:hAnsi="標楷體" w:hint="eastAsia"/>
          <w:b/>
          <w:sz w:val="28"/>
          <w:szCs w:val="20"/>
        </w:rPr>
        <w:t>K</w:t>
      </w:r>
      <w:r w:rsidRPr="00CE5907">
        <w:rPr>
          <w:rFonts w:eastAsia="標楷體" w:hAnsi="標楷體"/>
          <w:b/>
          <w:sz w:val="28"/>
          <w:szCs w:val="20"/>
        </w:rPr>
        <w:t>eyword</w:t>
      </w:r>
      <w:r w:rsidR="008D2A42">
        <w:rPr>
          <w:rFonts w:eastAsia="標楷體" w:hAnsi="標楷體" w:hint="eastAsia"/>
          <w:b/>
          <w:sz w:val="28"/>
          <w:szCs w:val="20"/>
        </w:rPr>
        <w:t>s</w:t>
      </w:r>
      <w:r w:rsidRPr="00CE5907">
        <w:rPr>
          <w:rFonts w:eastAsia="標楷體" w:hAnsi="標楷體"/>
          <w:b/>
          <w:sz w:val="28"/>
          <w:szCs w:val="20"/>
        </w:rPr>
        <w:t>:</w:t>
      </w:r>
      <w:r>
        <w:rPr>
          <w:rFonts w:eastAsia="標楷體" w:hAnsi="標楷體"/>
          <w:szCs w:val="20"/>
        </w:rPr>
        <w:t xml:space="preserve"> </w:t>
      </w:r>
      <w:r w:rsidR="00B85159" w:rsidRPr="00B85159">
        <w:rPr>
          <w:rFonts w:eastAsia="標楷體" w:hAnsi="標楷體"/>
          <w:b/>
          <w:color w:val="FF0000"/>
          <w:sz w:val="20"/>
          <w:szCs w:val="20"/>
        </w:rPr>
        <w:t xml:space="preserve">(14pt, 1.5 spacing, 0.5pt before line spacing, </w:t>
      </w:r>
      <w:r w:rsidR="000A257E" w:rsidRPr="00B85159">
        <w:rPr>
          <w:rFonts w:eastAsia="標楷體" w:hAnsi="標楷體"/>
          <w:b/>
          <w:color w:val="FF0000"/>
          <w:sz w:val="20"/>
          <w:szCs w:val="32"/>
        </w:rPr>
        <w:t>justify text</w:t>
      </w:r>
      <w:r w:rsidR="00B85159" w:rsidRPr="00B85159">
        <w:rPr>
          <w:rFonts w:eastAsia="標楷體" w:hAnsi="標楷體"/>
          <w:b/>
          <w:color w:val="FF0000"/>
          <w:sz w:val="20"/>
          <w:szCs w:val="20"/>
        </w:rPr>
        <w:t>, bolder font)</w:t>
      </w:r>
      <w:r w:rsidR="00B85159" w:rsidRPr="00B85159">
        <w:rPr>
          <w:rFonts w:eastAsia="標楷體" w:hAnsi="標楷體"/>
          <w:szCs w:val="20"/>
        </w:rPr>
        <w:t xml:space="preserve"> </w:t>
      </w:r>
      <w:r w:rsidRPr="00CE5907">
        <w:rPr>
          <w:rFonts w:eastAsia="標楷體" w:hAnsi="標楷體"/>
          <w:szCs w:val="20"/>
        </w:rPr>
        <w:t xml:space="preserve">Geothermal energy, Borehole </w:t>
      </w:r>
      <w:r>
        <w:rPr>
          <w:rFonts w:eastAsia="標楷體" w:hAnsi="標楷體"/>
          <w:szCs w:val="20"/>
        </w:rPr>
        <w:t>h</w:t>
      </w:r>
      <w:r w:rsidRPr="00CE5907">
        <w:rPr>
          <w:rFonts w:eastAsia="標楷體" w:hAnsi="標楷體"/>
          <w:szCs w:val="20"/>
        </w:rPr>
        <w:t xml:space="preserve">eat </w:t>
      </w:r>
      <w:r>
        <w:rPr>
          <w:rFonts w:eastAsia="標楷體" w:hAnsi="標楷體"/>
          <w:szCs w:val="20"/>
        </w:rPr>
        <w:t>e</w:t>
      </w:r>
      <w:r w:rsidRPr="00CE5907">
        <w:rPr>
          <w:rFonts w:eastAsia="標楷體" w:hAnsi="標楷體"/>
          <w:szCs w:val="20"/>
        </w:rPr>
        <w:t>xchanger, MODFLOW, MT3DMS, TRNSYS</w:t>
      </w:r>
      <w:r w:rsidR="000A257E" w:rsidRPr="000A257E">
        <w:t xml:space="preserve"> </w:t>
      </w:r>
      <w:r w:rsidR="000A257E" w:rsidRPr="000A257E">
        <w:rPr>
          <w:rFonts w:eastAsia="標楷體" w:hAnsi="標楷體"/>
          <w:b/>
          <w:color w:val="FF0000"/>
          <w:sz w:val="20"/>
          <w:szCs w:val="20"/>
        </w:rPr>
        <w:t>(12pt, 1.5 spacing, font Times New Roman)</w:t>
      </w:r>
    </w:p>
    <w:p w14:paraId="16C623B3" w14:textId="7466D8D8" w:rsidR="00B077C6" w:rsidRPr="006757E9" w:rsidRDefault="00B077C6" w:rsidP="00B077C6">
      <w:pPr>
        <w:snapToGrid w:val="0"/>
        <w:spacing w:beforeLines="50" w:before="180" w:afterLines="50" w:after="180" w:line="360" w:lineRule="auto"/>
        <w:jc w:val="both"/>
        <w:rPr>
          <w:rFonts w:eastAsia="標楷體" w:hAnsi="標楷體"/>
          <w:b/>
        </w:rPr>
      </w:pPr>
      <w:r w:rsidRPr="006757E9">
        <w:rPr>
          <w:rFonts w:eastAsia="標楷體" w:hAnsi="標楷體"/>
          <w:b/>
          <w:color w:val="FF0000"/>
        </w:rPr>
        <w:t>Note</w:t>
      </w:r>
      <w:r>
        <w:rPr>
          <w:rFonts w:eastAsia="標楷體" w:hAnsi="標楷體" w:hint="eastAsia"/>
          <w:b/>
          <w:color w:val="FF0000"/>
        </w:rPr>
        <w:t>:</w:t>
      </w:r>
      <w:r>
        <w:rPr>
          <w:rFonts w:eastAsia="標楷體" w:hAnsi="標楷體"/>
          <w:b/>
          <w:color w:val="FF0000"/>
        </w:rPr>
        <w:t xml:space="preserve"> </w:t>
      </w:r>
      <w:r w:rsidRPr="006757E9">
        <w:rPr>
          <w:rFonts w:eastAsia="標楷體" w:hAnsi="標楷體"/>
          <w:b/>
          <w:color w:val="FF0000"/>
        </w:rPr>
        <w:t xml:space="preserve">If the abstract is two pages long, there is no need to include the </w:t>
      </w:r>
      <w:r>
        <w:rPr>
          <w:rFonts w:eastAsia="標楷體" w:hAnsi="標楷體"/>
          <w:b/>
          <w:color w:val="FF0000"/>
        </w:rPr>
        <w:t xml:space="preserve">original </w:t>
      </w:r>
      <w:r w:rsidRPr="006757E9">
        <w:rPr>
          <w:rFonts w:eastAsia="標楷體" w:hAnsi="標楷體"/>
          <w:b/>
          <w:color w:val="FF0000"/>
        </w:rPr>
        <w:t xml:space="preserve">title page. Otherwise, </w:t>
      </w:r>
      <w:r>
        <w:rPr>
          <w:rFonts w:eastAsia="標楷體" w:hAnsi="標楷體"/>
          <w:b/>
          <w:color w:val="FF0000"/>
        </w:rPr>
        <w:t xml:space="preserve">it is required to adopt the title page as an example in </w:t>
      </w:r>
      <w:r w:rsidR="00C422D1">
        <w:rPr>
          <w:rFonts w:eastAsia="標楷體" w:hAnsi="標楷體"/>
          <w:b/>
          <w:color w:val="FF0000"/>
        </w:rPr>
        <w:t xml:space="preserve">the </w:t>
      </w:r>
      <w:r>
        <w:rPr>
          <w:rFonts w:eastAsia="標楷體" w:hAnsi="標楷體"/>
          <w:b/>
          <w:color w:val="FF0000"/>
        </w:rPr>
        <w:t>next page.</w:t>
      </w:r>
      <w:r w:rsidR="00C422D1">
        <w:rPr>
          <w:rFonts w:eastAsia="標楷體" w:hAnsi="標楷體" w:hint="eastAsia"/>
          <w:b/>
          <w:color w:val="FF0000"/>
        </w:rPr>
        <w:t xml:space="preserve"> </w:t>
      </w:r>
      <w:r w:rsidR="00C422D1">
        <w:rPr>
          <w:rFonts w:eastAsia="標楷體" w:hAnsi="標楷體"/>
          <w:b/>
          <w:color w:val="FF0000"/>
        </w:rPr>
        <w:t>Also, please enlarge it as the example and keep it as clear as possible.</w:t>
      </w:r>
    </w:p>
    <w:p w14:paraId="33AA6677" w14:textId="77777777" w:rsidR="00B077C6" w:rsidRPr="00A11DD4" w:rsidRDefault="00B077C6" w:rsidP="0016070C">
      <w:pPr>
        <w:snapToGrid w:val="0"/>
        <w:spacing w:beforeLines="50" w:before="180" w:afterLines="50" w:after="180" w:line="360" w:lineRule="auto"/>
        <w:jc w:val="both"/>
        <w:rPr>
          <w:rFonts w:eastAsia="標楷體" w:hAnsi="標楷體"/>
          <w:b/>
          <w:szCs w:val="20"/>
        </w:rPr>
      </w:pPr>
    </w:p>
    <w:p w14:paraId="40E93BCC" w14:textId="233A98EB" w:rsidR="003B5A58" w:rsidRPr="00402335" w:rsidRDefault="003211CC" w:rsidP="000A257E">
      <w:pPr>
        <w:widowControl/>
        <w:spacing w:line="360" w:lineRule="auto"/>
        <w:rPr>
          <w:rFonts w:eastAsia="標楷體" w:hAnsi="標楷體"/>
        </w:rPr>
      </w:pPr>
      <w:r w:rsidRPr="003211CC">
        <w:rPr>
          <w:rFonts w:eastAsia="標楷體" w:hAnsi="標楷體"/>
          <w:noProof/>
        </w:rPr>
        <w:lastRenderedPageBreak/>
        <w:drawing>
          <wp:anchor distT="0" distB="0" distL="114300" distR="114300" simplePos="0" relativeHeight="251658240" behindDoc="0" locked="0" layoutInCell="1" allowOverlap="1" wp14:anchorId="7F688BAA" wp14:editId="6B3D217D">
            <wp:simplePos x="0" y="0"/>
            <wp:positionH relativeFrom="margin">
              <wp:align>center</wp:align>
            </wp:positionH>
            <wp:positionV relativeFrom="paragraph">
              <wp:posOffset>0</wp:posOffset>
            </wp:positionV>
            <wp:extent cx="7152084" cy="9500236"/>
            <wp:effectExtent l="0" t="0" r="0" b="571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152084" cy="9500236"/>
                    </a:xfrm>
                    <a:prstGeom prst="rect">
                      <a:avLst/>
                    </a:prstGeom>
                  </pic:spPr>
                </pic:pic>
              </a:graphicData>
            </a:graphic>
            <wp14:sizeRelH relativeFrom="margin">
              <wp14:pctWidth>0</wp14:pctWidth>
            </wp14:sizeRelH>
            <wp14:sizeRelV relativeFrom="margin">
              <wp14:pctHeight>0</wp14:pctHeight>
            </wp14:sizeRelV>
          </wp:anchor>
        </w:drawing>
      </w:r>
    </w:p>
    <w:sectPr w:rsidR="003B5A58" w:rsidRPr="00402335" w:rsidSect="001E267F">
      <w:headerReference w:type="default" r:id="rId8"/>
      <w:type w:val="continuous"/>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CCCC6" w14:textId="77777777" w:rsidR="00F02321" w:rsidRDefault="00F02321">
      <w:r>
        <w:separator/>
      </w:r>
    </w:p>
  </w:endnote>
  <w:endnote w:type="continuationSeparator" w:id="0">
    <w:p w14:paraId="4176F355" w14:textId="77777777" w:rsidR="00F02321" w:rsidRDefault="00F0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47226" w14:textId="77777777" w:rsidR="00F02321" w:rsidRDefault="00F02321">
      <w:r>
        <w:separator/>
      </w:r>
    </w:p>
  </w:footnote>
  <w:footnote w:type="continuationSeparator" w:id="0">
    <w:p w14:paraId="0F39C089" w14:textId="77777777" w:rsidR="00F02321" w:rsidRDefault="00F0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6A37B" w14:textId="35F9CF30" w:rsidR="00CE5907" w:rsidRDefault="00CE5907" w:rsidP="00CE5907">
    <w:pPr>
      <w:pStyle w:val="a3"/>
      <w:jc w:val="center"/>
    </w:pPr>
    <w:r>
      <w:t xml:space="preserve">National Central University Graduate Institute of Applied Geology </w:t>
    </w:r>
    <w:r w:rsidRPr="00CE5907">
      <w:rPr>
        <w:b/>
      </w:rPr>
      <w:t>11</w:t>
    </w:r>
    <w:r w:rsidR="00013B54">
      <w:rPr>
        <w:rFonts w:hint="eastAsia"/>
        <w:b/>
      </w:rPr>
      <w:t>2</w:t>
    </w:r>
    <w:r w:rsidR="00013B54">
      <w:rPr>
        <w:b/>
      </w:rPr>
      <w:t>-1</w:t>
    </w:r>
    <w:r>
      <w:t xml:space="preserve"> seminar</w:t>
    </w:r>
  </w:p>
  <w:p w14:paraId="5282FA3A" w14:textId="7DA4C714" w:rsidR="00737DBF" w:rsidRPr="00B85159" w:rsidRDefault="00CE5907" w:rsidP="00CE5907">
    <w:pPr>
      <w:pStyle w:val="a3"/>
      <w:jc w:val="center"/>
      <w:rPr>
        <w:b/>
        <w:color w:val="FF0000"/>
      </w:rPr>
    </w:pPr>
    <w:r w:rsidRPr="00B85159">
      <w:rPr>
        <w:b/>
        <w:color w:val="FF0000"/>
      </w:rPr>
      <w:t>(Header, 10pt, align center)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0MjM0NjMxsTAzNjBT0lEKTi0uzszPAykwqgUA+UEmqCwAAAA="/>
  </w:docVars>
  <w:rsids>
    <w:rsidRoot w:val="004659F8"/>
    <w:rsid w:val="00013B54"/>
    <w:rsid w:val="00015A28"/>
    <w:rsid w:val="0001613A"/>
    <w:rsid w:val="00021FF1"/>
    <w:rsid w:val="00024A42"/>
    <w:rsid w:val="00032BA6"/>
    <w:rsid w:val="000531BF"/>
    <w:rsid w:val="00074C74"/>
    <w:rsid w:val="00087C5C"/>
    <w:rsid w:val="00097C4F"/>
    <w:rsid w:val="000A257E"/>
    <w:rsid w:val="000C10BD"/>
    <w:rsid w:val="000C25C0"/>
    <w:rsid w:val="000E1F4F"/>
    <w:rsid w:val="000F3F11"/>
    <w:rsid w:val="00132958"/>
    <w:rsid w:val="0016070C"/>
    <w:rsid w:val="001B71ED"/>
    <w:rsid w:val="001D5C2D"/>
    <w:rsid w:val="001E223D"/>
    <w:rsid w:val="001E267F"/>
    <w:rsid w:val="001F474E"/>
    <w:rsid w:val="00201D91"/>
    <w:rsid w:val="00210EC8"/>
    <w:rsid w:val="00212A67"/>
    <w:rsid w:val="00222968"/>
    <w:rsid w:val="00236827"/>
    <w:rsid w:val="00250334"/>
    <w:rsid w:val="0025598C"/>
    <w:rsid w:val="002566FC"/>
    <w:rsid w:val="00256819"/>
    <w:rsid w:val="002817B7"/>
    <w:rsid w:val="00284F75"/>
    <w:rsid w:val="0029113C"/>
    <w:rsid w:val="0029372A"/>
    <w:rsid w:val="00297A31"/>
    <w:rsid w:val="002A7460"/>
    <w:rsid w:val="002C0455"/>
    <w:rsid w:val="002F13E0"/>
    <w:rsid w:val="002F5C45"/>
    <w:rsid w:val="00300EF4"/>
    <w:rsid w:val="00317C76"/>
    <w:rsid w:val="003211CC"/>
    <w:rsid w:val="00323C34"/>
    <w:rsid w:val="003553FB"/>
    <w:rsid w:val="003835FB"/>
    <w:rsid w:val="0038758A"/>
    <w:rsid w:val="003A32DA"/>
    <w:rsid w:val="003A6C73"/>
    <w:rsid w:val="003A73FB"/>
    <w:rsid w:val="003B3947"/>
    <w:rsid w:val="003B5A58"/>
    <w:rsid w:val="003B7DB0"/>
    <w:rsid w:val="003C3CBA"/>
    <w:rsid w:val="003D457F"/>
    <w:rsid w:val="003E672B"/>
    <w:rsid w:val="00402335"/>
    <w:rsid w:val="004115A7"/>
    <w:rsid w:val="00413812"/>
    <w:rsid w:val="004208F4"/>
    <w:rsid w:val="00424D27"/>
    <w:rsid w:val="004257EA"/>
    <w:rsid w:val="00426BF9"/>
    <w:rsid w:val="004362C7"/>
    <w:rsid w:val="00452EB1"/>
    <w:rsid w:val="004659F8"/>
    <w:rsid w:val="00482524"/>
    <w:rsid w:val="004A0E6B"/>
    <w:rsid w:val="004A2441"/>
    <w:rsid w:val="004B579B"/>
    <w:rsid w:val="004C4116"/>
    <w:rsid w:val="004E6F40"/>
    <w:rsid w:val="004F053E"/>
    <w:rsid w:val="004F21EB"/>
    <w:rsid w:val="004F69ED"/>
    <w:rsid w:val="005021EC"/>
    <w:rsid w:val="0054003D"/>
    <w:rsid w:val="005411EA"/>
    <w:rsid w:val="00570200"/>
    <w:rsid w:val="00582855"/>
    <w:rsid w:val="005B506E"/>
    <w:rsid w:val="005E2C1C"/>
    <w:rsid w:val="005E3773"/>
    <w:rsid w:val="005E3D44"/>
    <w:rsid w:val="0061534A"/>
    <w:rsid w:val="00615659"/>
    <w:rsid w:val="00615DF1"/>
    <w:rsid w:val="00665C74"/>
    <w:rsid w:val="00681D89"/>
    <w:rsid w:val="00683094"/>
    <w:rsid w:val="006A1FC9"/>
    <w:rsid w:val="006A61C9"/>
    <w:rsid w:val="006D3C8F"/>
    <w:rsid w:val="006D4160"/>
    <w:rsid w:val="006D55F5"/>
    <w:rsid w:val="006D7609"/>
    <w:rsid w:val="006E5C65"/>
    <w:rsid w:val="00737DBF"/>
    <w:rsid w:val="00754193"/>
    <w:rsid w:val="00755390"/>
    <w:rsid w:val="0076004A"/>
    <w:rsid w:val="00775B72"/>
    <w:rsid w:val="00782D05"/>
    <w:rsid w:val="007935E9"/>
    <w:rsid w:val="007A1AFA"/>
    <w:rsid w:val="007A25E1"/>
    <w:rsid w:val="007A2E3D"/>
    <w:rsid w:val="007B0E9C"/>
    <w:rsid w:val="007B2CC9"/>
    <w:rsid w:val="007C1C8C"/>
    <w:rsid w:val="007D5809"/>
    <w:rsid w:val="007E047F"/>
    <w:rsid w:val="007E3018"/>
    <w:rsid w:val="007E3513"/>
    <w:rsid w:val="007F142E"/>
    <w:rsid w:val="00800EB0"/>
    <w:rsid w:val="008058A9"/>
    <w:rsid w:val="00814316"/>
    <w:rsid w:val="008207BE"/>
    <w:rsid w:val="00821542"/>
    <w:rsid w:val="008333B8"/>
    <w:rsid w:val="00847848"/>
    <w:rsid w:val="008615F9"/>
    <w:rsid w:val="008A4F23"/>
    <w:rsid w:val="008A6CEF"/>
    <w:rsid w:val="008B2F96"/>
    <w:rsid w:val="008B5107"/>
    <w:rsid w:val="008C1CD9"/>
    <w:rsid w:val="008D2A42"/>
    <w:rsid w:val="008D765E"/>
    <w:rsid w:val="008F56D7"/>
    <w:rsid w:val="0090627D"/>
    <w:rsid w:val="00935CE1"/>
    <w:rsid w:val="00944BD5"/>
    <w:rsid w:val="0094513A"/>
    <w:rsid w:val="00950A0F"/>
    <w:rsid w:val="0096584C"/>
    <w:rsid w:val="00977FEB"/>
    <w:rsid w:val="0098035D"/>
    <w:rsid w:val="00980E1C"/>
    <w:rsid w:val="009829A7"/>
    <w:rsid w:val="00992F23"/>
    <w:rsid w:val="009A7E2F"/>
    <w:rsid w:val="009C1C62"/>
    <w:rsid w:val="009E4855"/>
    <w:rsid w:val="00A00A44"/>
    <w:rsid w:val="00A01D3D"/>
    <w:rsid w:val="00A10568"/>
    <w:rsid w:val="00A11DD4"/>
    <w:rsid w:val="00A21A72"/>
    <w:rsid w:val="00A336B9"/>
    <w:rsid w:val="00A4342C"/>
    <w:rsid w:val="00A479C8"/>
    <w:rsid w:val="00A47DA1"/>
    <w:rsid w:val="00A57411"/>
    <w:rsid w:val="00A617ED"/>
    <w:rsid w:val="00A64E07"/>
    <w:rsid w:val="00AB2305"/>
    <w:rsid w:val="00AB2C12"/>
    <w:rsid w:val="00AD006A"/>
    <w:rsid w:val="00AD41BC"/>
    <w:rsid w:val="00AE3674"/>
    <w:rsid w:val="00AE6EAA"/>
    <w:rsid w:val="00AF0FA0"/>
    <w:rsid w:val="00B077C6"/>
    <w:rsid w:val="00B1156A"/>
    <w:rsid w:val="00B210EF"/>
    <w:rsid w:val="00B22E9F"/>
    <w:rsid w:val="00B57B8A"/>
    <w:rsid w:val="00B60F52"/>
    <w:rsid w:val="00B660A2"/>
    <w:rsid w:val="00B6695B"/>
    <w:rsid w:val="00B76138"/>
    <w:rsid w:val="00B85159"/>
    <w:rsid w:val="00BB12A3"/>
    <w:rsid w:val="00BC62C0"/>
    <w:rsid w:val="00BF0735"/>
    <w:rsid w:val="00C027BA"/>
    <w:rsid w:val="00C045B6"/>
    <w:rsid w:val="00C24730"/>
    <w:rsid w:val="00C34867"/>
    <w:rsid w:val="00C422D1"/>
    <w:rsid w:val="00C938B6"/>
    <w:rsid w:val="00C93F04"/>
    <w:rsid w:val="00C9498A"/>
    <w:rsid w:val="00CA5B57"/>
    <w:rsid w:val="00CA6933"/>
    <w:rsid w:val="00CB5826"/>
    <w:rsid w:val="00CB7B77"/>
    <w:rsid w:val="00CE5907"/>
    <w:rsid w:val="00D47B5C"/>
    <w:rsid w:val="00D6054A"/>
    <w:rsid w:val="00D63F80"/>
    <w:rsid w:val="00D71E60"/>
    <w:rsid w:val="00D81951"/>
    <w:rsid w:val="00DA47F8"/>
    <w:rsid w:val="00DA611F"/>
    <w:rsid w:val="00DB6934"/>
    <w:rsid w:val="00DC6DC8"/>
    <w:rsid w:val="00DD3FAB"/>
    <w:rsid w:val="00DD4B78"/>
    <w:rsid w:val="00DD7985"/>
    <w:rsid w:val="00DE7F25"/>
    <w:rsid w:val="00DF4E70"/>
    <w:rsid w:val="00E17986"/>
    <w:rsid w:val="00E3512C"/>
    <w:rsid w:val="00E4415D"/>
    <w:rsid w:val="00E63E36"/>
    <w:rsid w:val="00E71269"/>
    <w:rsid w:val="00E72D05"/>
    <w:rsid w:val="00E85BEC"/>
    <w:rsid w:val="00E95CD1"/>
    <w:rsid w:val="00E97431"/>
    <w:rsid w:val="00EA3560"/>
    <w:rsid w:val="00EB01A7"/>
    <w:rsid w:val="00ED1D76"/>
    <w:rsid w:val="00EE0560"/>
    <w:rsid w:val="00EE5683"/>
    <w:rsid w:val="00F02321"/>
    <w:rsid w:val="00F03669"/>
    <w:rsid w:val="00F47ED6"/>
    <w:rsid w:val="00F60C38"/>
    <w:rsid w:val="00F62E02"/>
    <w:rsid w:val="00F9198B"/>
    <w:rsid w:val="00F9579B"/>
    <w:rsid w:val="00F97C38"/>
    <w:rsid w:val="00FA0009"/>
    <w:rsid w:val="00FA4567"/>
    <w:rsid w:val="00FC0989"/>
    <w:rsid w:val="00FC2547"/>
    <w:rsid w:val="00FC3C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F268F"/>
  <w15:chartTrackingRefBased/>
  <w15:docId w15:val="{3A524C18-5FC4-4420-BF4C-A1D134E82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659F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659F8"/>
    <w:pPr>
      <w:tabs>
        <w:tab w:val="center" w:pos="4153"/>
        <w:tab w:val="right" w:pos="8306"/>
      </w:tabs>
      <w:snapToGrid w:val="0"/>
    </w:pPr>
    <w:rPr>
      <w:sz w:val="20"/>
      <w:szCs w:val="20"/>
    </w:rPr>
  </w:style>
  <w:style w:type="paragraph" w:styleId="a4">
    <w:name w:val="footer"/>
    <w:basedOn w:val="a"/>
    <w:rsid w:val="004659F8"/>
    <w:pPr>
      <w:tabs>
        <w:tab w:val="center" w:pos="4153"/>
        <w:tab w:val="right" w:pos="8306"/>
      </w:tabs>
      <w:snapToGrid w:val="0"/>
    </w:pPr>
    <w:rPr>
      <w:sz w:val="20"/>
      <w:szCs w:val="20"/>
    </w:rPr>
  </w:style>
  <w:style w:type="paragraph" w:styleId="a5">
    <w:name w:val="List Paragraph"/>
    <w:basedOn w:val="a"/>
    <w:uiPriority w:val="34"/>
    <w:qFormat/>
    <w:rsid w:val="00980E1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82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8917-DA6C-43C3-8130-3E01B482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岩層物理性質與初始應力狀態對兩處斷層擴展褶皺實例形成之影響</vt:lpstr>
    </vt:vector>
  </TitlesOfParts>
  <Company>HOME</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岩層物理性質與初始應力狀態對兩處斷層擴展褶皺實例形成之影響</dc:title>
  <dc:subject/>
  <dc:creator>yi</dc:creator>
  <cp:keywords/>
  <dc:description/>
  <cp:lastModifiedBy>林禹昇 (111624003)</cp:lastModifiedBy>
  <cp:revision>5</cp:revision>
  <cp:lastPrinted>2021-11-25T04:19:00Z</cp:lastPrinted>
  <dcterms:created xsi:type="dcterms:W3CDTF">2022-11-22T00:50:00Z</dcterms:created>
  <dcterms:modified xsi:type="dcterms:W3CDTF">2023-10-23T05:46:00Z</dcterms:modified>
</cp:coreProperties>
</file>